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4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4278"/>
        <w:gridCol w:w="5400"/>
        <w:gridCol w:w="160"/>
      </w:tblGrid>
      <w:tr w:rsidR="00F76DFF" w:rsidTr="00CE54DE">
        <w:trPr>
          <w:gridAfter w:val="1"/>
          <w:wAfter w:w="16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F76DFF" w:rsidTr="00CE54DE">
        <w:trPr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76DFF" w:rsidTr="00CE54DE">
        <w:trPr>
          <w:trHeight w:val="6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76DFF" w:rsidTr="00CE54DE">
        <w:trPr>
          <w:trHeight w:val="9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4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00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4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2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40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5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15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Gertrúda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559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RNDr., PhD.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66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1D2" w:rsidRPr="001C71D2" w:rsidRDefault="00A973C8" w:rsidP="001C71D2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C71D2" w:rsidRPr="001C71D2">
              <w:rPr>
                <w:sz w:val="16"/>
                <w:szCs w:val="16"/>
              </w:rPr>
              <w:t>https://www.portalvs.sk/regzam/detail/12302</w:t>
            </w:r>
          </w:p>
          <w:p w:rsidR="00F76DFF" w:rsidRDefault="00F76DFF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30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Public Health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972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Textpoznmkypodiarou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</w:p>
          <w:p w:rsidR="00F76DFF" w:rsidRPr="00BB07C3" w:rsidRDefault="00BB07C3" w:rsidP="00BB07C3">
            <w:pPr>
              <w:pStyle w:val="Normlny1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16"/>
                <w:szCs w:val="16"/>
              </w:rPr>
            </w:pP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Hinz</w:t>
            </w:r>
            <w:proofErr w:type="spellEnd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Waldemar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Renger</w:t>
            </w:r>
            <w:proofErr w:type="spellEnd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Fabian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Mikolášová</w:t>
            </w:r>
            <w:proofErr w:type="spellEnd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, Gertrúda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Czirfusz</w:t>
            </w:r>
            <w:proofErr w:type="spellEnd"/>
            <w:r w:rsidRPr="00BB07C3">
              <w:rPr>
                <w:rFonts w:asciiTheme="minorHAnsi" w:hAnsiTheme="minorHAnsi" w:cstheme="minorHAnsi"/>
                <w:sz w:val="16"/>
                <w:szCs w:val="16"/>
              </w:rPr>
              <w:t>, Attila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Influencing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on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health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situation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migration</w:t>
            </w:r>
            <w:proofErr w:type="spellEnd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>background</w:t>
            </w:r>
            <w:proofErr w:type="spellEnd"/>
            <w:r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BB07C3">
              <w:rPr>
                <w:rStyle w:val="Siln"/>
                <w:rFonts w:asciiTheme="minorHAnsi" w:hAnsiTheme="minorHAnsi" w:cstheme="minorHAnsi"/>
                <w:b w:val="0"/>
                <w:sz w:val="16"/>
                <w:szCs w:val="16"/>
              </w:rPr>
              <w:t>In:</w:t>
            </w:r>
            <w:r>
              <w:rPr>
                <w:rStyle w:val="Siln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Challenges</w:t>
            </w:r>
            <w:proofErr w:type="spellEnd"/>
            <w:r w:rsidRPr="00BB07C3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2</w:t>
            </w:r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 xml:space="preserve"> (Band 32. </w:t>
            </w:r>
            <w:proofErr w:type="spellStart"/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Schriftenreihe</w:t>
            </w:r>
            <w:proofErr w:type="spellEnd"/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Gesundheitswissenschaften</w:t>
            </w:r>
            <w:proofErr w:type="spellEnd"/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)</w:t>
            </w: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BB07C3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1. vyd. – Hamburg (Nemecko).  – ISBN 978-3-339-12260-5, s. 133-148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5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B0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BB07C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66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973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B24CF5" w:rsidRDefault="00B24CF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435790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552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89580F" w:rsidRDefault="008958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9580F">
              <w:rPr>
                <w:rFonts w:cstheme="minorHAnsi"/>
                <w:sz w:val="16"/>
                <w:szCs w:val="16"/>
              </w:rPr>
              <w:br/>
            </w:r>
            <w:r w:rsidRPr="0089580F">
              <w:rPr>
                <w:rFonts w:cstheme="minorHAnsi"/>
                <w:color w:val="2F1713"/>
                <w:sz w:val="16"/>
                <w:szCs w:val="16"/>
                <w:u w:val="single"/>
                <w:shd w:val="clear" w:color="auto" w:fill="F5F5F5"/>
              </w:rPr>
              <w:t>https://app.crepc.sk/?fn=detailBiblioForm&amp;sid=C253EDA87EE99634FFB8CCCA4E</w:t>
            </w:r>
          </w:p>
        </w:tc>
        <w:tc>
          <w:tcPr>
            <w:tcW w:w="160" w:type="dxa"/>
            <w:vAlign w:val="center"/>
          </w:tcPr>
          <w:p w:rsidR="00F76DFF" w:rsidRPr="0089580F" w:rsidRDefault="00F76DF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F76DFF" w:rsidTr="00CE54DE">
        <w:trPr>
          <w:trHeight w:val="1065"/>
        </w:trPr>
        <w:tc>
          <w:tcPr>
            <w:tcW w:w="6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1515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129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111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765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B24CF5" w:rsidRDefault="00C26A50" w:rsidP="00B24CF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Hinz</w:t>
            </w:r>
            <w:proofErr w:type="spellEnd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Waldemar</w:t>
            </w:r>
            <w:proofErr w:type="spellEnd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25%] ; </w:t>
            </w:r>
            <w:proofErr w:type="spellStart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Renger</w:t>
            </w:r>
            <w:proofErr w:type="spellEnd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Fabian</w:t>
            </w:r>
            <w:proofErr w:type="spellEnd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25%] ; </w:t>
            </w:r>
            <w:proofErr w:type="spellStart"/>
            <w:r w:rsidR="00B24CF5" w:rsidRPr="00B24CF5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="00B24CF5" w:rsidRPr="00B24CF5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 xml:space="preserve">, Gertrúda [Autor, 25%] </w:t>
            </w:r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; </w:t>
            </w:r>
            <w:proofErr w:type="spellStart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Czirfusz</w:t>
            </w:r>
            <w:proofErr w:type="spellEnd"/>
            <w:r w:rsidR="00B24CF5"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Attila [Autor, 25%]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231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6E4123" w:rsidRDefault="0040104B" w:rsidP="006E4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40104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Zdravotnú situáciu ľudí s migračným pozadím ovplyvňuje množstvo faktorov. Na jednej strane môžu spočívať v samotných migrantoch a súvisieť s ich pôvodom alebo ich náboženským a kultúrnym zázemím. Zdravotnú situáciu migrantov môže ovplyvniť aj pohlavie a faktory aktuálnej životnej situácie (miesto bydliska, socioekonomické postavenie atď.).</w:t>
            </w:r>
            <w:r w:rsidR="0005285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52854" w:rsidRPr="0005285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Nasleduje situácia ľudí s migračným pozadím v nemeckom zdravotníctve. V tejto súvislosti sa diskutuje o správaní pri používaní a ovplyvňujúcich faktoroch. Patria sem najmä tie aspekty, ktoré sa môžu prejaviť pri využívaní zdravotníckych zariadení, ako aj možné problémy a ťažkosti pri využívaní zdravotníckych služieb ľuďmi z migračného prostredia. Problematika zdravotnej starostlivosti je vo všeobecnosti predmetom výskumu zdravotníckych služieb.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915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0274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1249BD" w:rsidP="009E3E36">
            <w:pPr>
              <w:pStyle w:val="PredformtovanHTML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influenced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numerous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. On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one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hand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,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these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can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lie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within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migrants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themselves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related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origin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religious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cultural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Gender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current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life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(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place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residence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socioeconomic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status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etc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>).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can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also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influence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migrants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>.</w:t>
            </w:r>
            <w:r w:rsid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following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situationare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German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healthcare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system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In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this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context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usage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behavior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influencing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discussed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includes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particular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those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aspects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that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may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prove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tothe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use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facilities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, as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well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as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possible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problems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difficulties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using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services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bypeople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care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issues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generally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subject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services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research</w:t>
            </w:r>
            <w:proofErr w:type="spellEnd"/>
            <w:r w:rsidR="00052854" w:rsidRPr="00052854">
              <w:rPr>
                <w:rFonts w:ascii="Calibri" w:eastAsia="SimSun" w:hAnsi="Calibri" w:cs="Calibr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8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 w:rsidP="009E3E36">
            <w:pPr>
              <w:spacing w:after="0" w:line="240" w:lineRule="auto"/>
              <w:jc w:val="both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117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CE54DE" w:rsidP="008C2B3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Výsledkom tohto následného rozpracovania bola prezentácia zdravotnej situácie osôb s migračným pozadím v Nemecku, diskusia o možnostiach a prekážkach účasti na preventívnych zdravotných opatreniach tejto skupiny osôb a niektoré existujúce alebo dokončené  príklady preventívn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ych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projekt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ov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="00301CB7">
              <w:t xml:space="preserve"> </w:t>
            </w:r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Zdravotný stav migrantov je determinovaný mnohými rôznymi faktormi, ktoré nespočívajú len v migrácii a životných podmienkach po úteku, ale aj v podmienkach krajiny pôvodu. Najmä vystavenie rizikovým faktorom chronických ochorení môže mať dlhé obdobie latencie, takže vplyvy z detstva sa môžu prejaviť až v neskoršom veku.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As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result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subsequent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elaboration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background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hand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options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obstacles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regard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participation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preventive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group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discused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some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existing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completed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projects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="00301CB7"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status of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determined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numeros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different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living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after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flight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 of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origin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particular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exposure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risk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chronic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latency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so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inluences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childhood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manifest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until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later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="00301CB7"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:rsidTr="00CE54DE">
        <w:trPr>
          <w:trHeight w:val="129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301CB7" w:rsidP="008C2B3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Výsledkom tohto následného rozpracovania bola prezentácia zdravotnej situácie osôb s migračným pozadím v Nemecku, diskusia o možnostiach a prekážkach účasti na preventívnych zdravotných opatreniach tejto skupiny osôb a niektoré existujúce alebo dokončené príklady preventívn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ych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projekt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ov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t xml:space="preserve"> </w:t>
            </w:r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Zdravotný stav migrantov je determinovaný mnohými rôznymi faktormi, ktoré nespočívajú len v migrácii a životných podmienkach po úteku, ale aj v podmienkach krajiny pôvodu. Najmä vystavenie rizikovým faktorom chronických ochorení môže mať dlhé obdobie latencie, takže vplyvy z detstva sa môžu prejaviť až v neskoršom veku.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8C2B3D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bookmarkStart w:id="1" w:name="_GoBack"/>
            <w:bookmarkEnd w:id="1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As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result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subsequent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elaboration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background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hand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options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obstacles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regard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participation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preventive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group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discused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some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existing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completed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projects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status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determined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numeros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different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living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after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flight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origin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particular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exposure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risk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chronic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latency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so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inluences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childhood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manifest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until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76DFF" w:rsidRDefault="00F76DFF"/>
    <w:sectPr w:rsidR="00F76DFF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4D4" w:rsidRDefault="000274D4">
      <w:pPr>
        <w:spacing w:line="240" w:lineRule="auto"/>
      </w:pPr>
      <w:r>
        <w:separator/>
      </w:r>
    </w:p>
  </w:endnote>
  <w:endnote w:type="continuationSeparator" w:id="0">
    <w:p w:rsidR="000274D4" w:rsidRDefault="000274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4D4" w:rsidRDefault="000274D4">
      <w:pPr>
        <w:spacing w:after="0"/>
      </w:pPr>
      <w:r>
        <w:separator/>
      </w:r>
    </w:p>
  </w:footnote>
  <w:footnote w:type="continuationSeparator" w:id="0">
    <w:p w:rsidR="000274D4" w:rsidRDefault="000274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274D4"/>
    <w:rsid w:val="00052854"/>
    <w:rsid w:val="001249BD"/>
    <w:rsid w:val="00190A9C"/>
    <w:rsid w:val="001C71D2"/>
    <w:rsid w:val="00211BB7"/>
    <w:rsid w:val="002A567C"/>
    <w:rsid w:val="00301CB7"/>
    <w:rsid w:val="003618B5"/>
    <w:rsid w:val="0040104B"/>
    <w:rsid w:val="00431D44"/>
    <w:rsid w:val="004C0ADE"/>
    <w:rsid w:val="00615D3F"/>
    <w:rsid w:val="006E4123"/>
    <w:rsid w:val="00711A0C"/>
    <w:rsid w:val="0073261A"/>
    <w:rsid w:val="007F1049"/>
    <w:rsid w:val="0089580F"/>
    <w:rsid w:val="008C2B3D"/>
    <w:rsid w:val="009E3E36"/>
    <w:rsid w:val="00A545F6"/>
    <w:rsid w:val="00A973C8"/>
    <w:rsid w:val="00B24CF5"/>
    <w:rsid w:val="00B95C76"/>
    <w:rsid w:val="00BB07C3"/>
    <w:rsid w:val="00BF43D0"/>
    <w:rsid w:val="00C26A50"/>
    <w:rsid w:val="00C668F2"/>
    <w:rsid w:val="00CE54DE"/>
    <w:rsid w:val="00EC29F7"/>
    <w:rsid w:val="00F76DFF"/>
    <w:rsid w:val="00FA00D0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7F5C3-2116-4325-BE61-8DB77FAB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B07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VSSVA 02</cp:lastModifiedBy>
  <cp:revision>20</cp:revision>
  <dcterms:created xsi:type="dcterms:W3CDTF">2022-03-10T08:22:00Z</dcterms:created>
  <dcterms:modified xsi:type="dcterms:W3CDTF">2022-08-15T09:19:00Z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